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5C071" w14:textId="77777777" w:rsidR="001423A9" w:rsidRDefault="001423A9" w:rsidP="001423A9">
      <w:pPr>
        <w:spacing w:line="360" w:lineRule="auto"/>
        <w:rPr>
          <w:rFonts w:ascii="Times New Roman" w:eastAsia="Times New Roman" w:hAnsi="Times New Roman" w:cs="Times New Roman"/>
          <w:b/>
          <w:sz w:val="24"/>
          <w:szCs w:val="24"/>
        </w:rPr>
      </w:pPr>
    </w:p>
    <w:p w14:paraId="63847688" w14:textId="77777777" w:rsidR="001423A9" w:rsidRDefault="001423A9" w:rsidP="001423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IV</w:t>
      </w:r>
    </w:p>
    <w:p w14:paraId="6BC4242F" w14:textId="77777777" w:rsidR="001423A9" w:rsidRDefault="001423A9" w:rsidP="001423A9">
      <w:pPr>
        <w:jc w:val="center"/>
        <w:rPr>
          <w:rFonts w:ascii="Times New Roman" w:eastAsia="Times New Roman" w:hAnsi="Times New Roman" w:cs="Times New Roman"/>
          <w:b/>
          <w:sz w:val="24"/>
          <w:szCs w:val="24"/>
          <w:highlight w:val="white"/>
        </w:rPr>
      </w:pPr>
    </w:p>
    <w:p w14:paraId="5EAD04AD" w14:textId="77777777" w:rsidR="001423A9" w:rsidRDefault="001423A9" w:rsidP="001423A9">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EDITAL N° 21/2021-GEPEX </w:t>
      </w:r>
    </w:p>
    <w:p w14:paraId="2E994660" w14:textId="77777777" w:rsidR="001423A9" w:rsidRDefault="001423A9" w:rsidP="001423A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CONCESSÃO E ACEITAÇÃO DE AUXÍLIO FINANCEIRO</w:t>
      </w:r>
    </w:p>
    <w:p w14:paraId="492DAF6F" w14:textId="77777777" w:rsidR="001423A9" w:rsidRDefault="001423A9" w:rsidP="001423A9">
      <w:pPr>
        <w:pStyle w:val="Ttulo1"/>
        <w:tabs>
          <w:tab w:val="left" w:pos="567"/>
        </w:tabs>
        <w:ind w:left="0" w:right="34" w:firstLine="0"/>
        <w:jc w:val="center"/>
        <w:rPr>
          <w:rFonts w:ascii="Times New Roman" w:eastAsia="Times New Roman" w:hAnsi="Times New Roman" w:cs="Times New Roman"/>
          <w:sz w:val="24"/>
          <w:szCs w:val="24"/>
        </w:rPr>
      </w:pPr>
      <w:bookmarkStart w:id="0" w:name="_heading=h.2ntz5ld4m6kn" w:colFirst="0" w:colLast="0"/>
      <w:bookmarkEnd w:id="0"/>
      <w:r>
        <w:rPr>
          <w:rFonts w:ascii="Times New Roman" w:eastAsia="Times New Roman" w:hAnsi="Times New Roman" w:cs="Times New Roman"/>
          <w:color w:val="000009"/>
          <w:sz w:val="24"/>
          <w:szCs w:val="24"/>
        </w:rPr>
        <w:t xml:space="preserve">Fomento Universal para Pesquisadores/as/IFG - </w:t>
      </w:r>
      <w:proofErr w:type="spellStart"/>
      <w:r>
        <w:rPr>
          <w:rFonts w:ascii="Times New Roman" w:eastAsia="Times New Roman" w:hAnsi="Times New Roman" w:cs="Times New Roman"/>
          <w:color w:val="000009"/>
          <w:sz w:val="24"/>
          <w:szCs w:val="24"/>
        </w:rPr>
        <w:t>Câmpus</w:t>
      </w:r>
      <w:proofErr w:type="spellEnd"/>
      <w:r>
        <w:rPr>
          <w:rFonts w:ascii="Times New Roman" w:eastAsia="Times New Roman" w:hAnsi="Times New Roman" w:cs="Times New Roman"/>
          <w:color w:val="000009"/>
          <w:sz w:val="24"/>
          <w:szCs w:val="24"/>
        </w:rPr>
        <w:t xml:space="preserve"> Inhumas</w:t>
      </w:r>
    </w:p>
    <w:p w14:paraId="78B01800" w14:textId="77777777" w:rsidR="001423A9" w:rsidRDefault="001423A9" w:rsidP="001423A9">
      <w:pPr>
        <w:spacing w:before="240" w:after="240"/>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95C0AC" w14:textId="77777777" w:rsidR="001423A9" w:rsidRDefault="001423A9" w:rsidP="001423A9">
      <w:pPr>
        <w:spacing w:before="120"/>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DAS OBRIGAÇÕES E COMPROMISSOS</w:t>
      </w:r>
    </w:p>
    <w:p w14:paraId="0A0D45F4" w14:textId="77777777" w:rsidR="001423A9" w:rsidRDefault="001423A9" w:rsidP="001423A9">
      <w:pPr>
        <w:spacing w:before="120"/>
        <w:ind w:left="240"/>
        <w:jc w:val="both"/>
        <w:rPr>
          <w:rFonts w:ascii="Times New Roman" w:eastAsia="Times New Roman" w:hAnsi="Times New Roman" w:cs="Times New Roman"/>
          <w:sz w:val="24"/>
          <w:szCs w:val="24"/>
        </w:rPr>
      </w:pPr>
    </w:p>
    <w:p w14:paraId="3A414F59" w14:textId="77777777" w:rsidR="001423A9" w:rsidRDefault="001423A9" w:rsidP="001423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São obrigações e compromissos dos/as pesquisadores/as do IFG-</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Inhumas com propostas aprovadas por meio d</w:t>
      </w:r>
      <w:r>
        <w:rPr>
          <w:rFonts w:ascii="Times New Roman" w:eastAsia="Times New Roman" w:hAnsi="Times New Roman" w:cs="Times New Roman"/>
          <w:sz w:val="24"/>
          <w:szCs w:val="24"/>
          <w:highlight w:val="white"/>
        </w:rPr>
        <w:t xml:space="preserve">o </w:t>
      </w:r>
      <w:r>
        <w:rPr>
          <w:rFonts w:ascii="Times New Roman" w:eastAsia="Times New Roman" w:hAnsi="Times New Roman" w:cs="Times New Roman"/>
          <w:b/>
          <w:sz w:val="24"/>
          <w:szCs w:val="24"/>
          <w:highlight w:val="white"/>
        </w:rPr>
        <w:t>EDITAL N° 21/2021-GEPEX</w:t>
      </w:r>
      <w:r>
        <w:rPr>
          <w:rFonts w:ascii="Times New Roman" w:eastAsia="Times New Roman" w:hAnsi="Times New Roman" w:cs="Times New Roman"/>
          <w:sz w:val="24"/>
          <w:szCs w:val="24"/>
          <w:highlight w:val="white"/>
        </w:rPr>
        <w:t>:</w:t>
      </w:r>
    </w:p>
    <w:p w14:paraId="768DDB86"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Dedicar-se às atividades pertinentes à proposta aprovada;</w:t>
      </w:r>
    </w:p>
    <w:p w14:paraId="3B2BADD9"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Observar o disposto nas Leis nº 8.666/93 e nº 10.973/04, nos Decretos nº 93.872/86 e nº 5.563/05 e na Lei nº 8.112/90, no que couber, bem como os demais instrumentos legais pertinentes;</w:t>
      </w:r>
    </w:p>
    <w:p w14:paraId="15B93593"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Conhecer e cumprir as exigências do Edital à qual a proposta está relacionada, como também as normas do IFG, ora em validade, relativas à modalidade de apoio financeiro aprovado, ciente que a eventual mudança dessas normas não afeta, altera ou incide sobre o presente documento, exceto quando proposta pelo IFG e formalmente aceita pelo BENEFICIÁRIO;</w:t>
      </w:r>
    </w:p>
    <w:p w14:paraId="7D4916C6"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Responsabilizar-se pela adequada implementação e aplicação dos recursos financeiros aprovados, atendendo aos </w:t>
      </w:r>
      <w:proofErr w:type="spellStart"/>
      <w:r>
        <w:rPr>
          <w:rFonts w:ascii="Times New Roman" w:eastAsia="Times New Roman" w:hAnsi="Times New Roman" w:cs="Times New Roman"/>
          <w:sz w:val="24"/>
          <w:szCs w:val="24"/>
        </w:rPr>
        <w:t>aspectos</w:t>
      </w:r>
      <w:proofErr w:type="spellEnd"/>
      <w:r>
        <w:rPr>
          <w:rFonts w:ascii="Times New Roman" w:eastAsia="Times New Roman" w:hAnsi="Times New Roman" w:cs="Times New Roman"/>
          <w:sz w:val="24"/>
          <w:szCs w:val="24"/>
        </w:rPr>
        <w:t xml:space="preserve"> normativos definidos para a(s) modalidade(s) concedida(s), podendo estar previsto apenas recursos de custeio, como também recursos para bolsas;</w:t>
      </w:r>
    </w:p>
    <w:p w14:paraId="77FBA9FB"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Utilizar os recursos financeiros em acordo com os critérios e procedimentos estabelecidos no Manual de Utilização de Recurso Financeiros e Prestação de Contas (</w:t>
      </w:r>
      <w:proofErr w:type="spellStart"/>
      <w:r>
        <w:rPr>
          <w:rFonts w:ascii="Times New Roman" w:eastAsia="Times New Roman" w:hAnsi="Times New Roman" w:cs="Times New Roman"/>
          <w:sz w:val="24"/>
          <w:szCs w:val="24"/>
        </w:rPr>
        <w:t>Acessar</w:t>
      </w:r>
      <w:proofErr w:type="spellEnd"/>
      <w:r>
        <w:rPr>
          <w:rFonts w:ascii="Times New Roman" w:eastAsia="Times New Roman" w:hAnsi="Times New Roman" w:cs="Times New Roman"/>
          <w:sz w:val="24"/>
          <w:szCs w:val="24"/>
        </w:rPr>
        <w:t xml:space="preserve"> em: http://ifg.edu.br/inhumas/campus/pesquisa/editais);</w:t>
      </w:r>
    </w:p>
    <w:p w14:paraId="0CB4EC5C"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Assumir todas as obrigações legais decorrentes de contratações eventuais necessárias à consecução do objeto, não tendo tais contratações qualquer vínculo com o IFG;</w:t>
      </w:r>
    </w:p>
    <w:p w14:paraId="13DC47BD"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Apresentar, nos prazos que lhe forem determinados, informações ou documentos referentes tanto ao desenvolvimento quanto à conclusão do Plano de Trabalho de Pesquisa aprovado;</w:t>
      </w:r>
    </w:p>
    <w:p w14:paraId="04B8C7A0"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Se necessárias, propor alterações no plano de trabalho, sujeitas à prévia análise e autorização do IFG, que não implique </w:t>
      </w:r>
      <w:proofErr w:type="spellStart"/>
      <w:r>
        <w:rPr>
          <w:rFonts w:ascii="Times New Roman" w:eastAsia="Times New Roman" w:hAnsi="Times New Roman" w:cs="Times New Roman"/>
          <w:sz w:val="24"/>
          <w:szCs w:val="24"/>
        </w:rPr>
        <w:t>remanejamento</w:t>
      </w:r>
      <w:proofErr w:type="spellEnd"/>
      <w:r>
        <w:rPr>
          <w:rFonts w:ascii="Times New Roman" w:eastAsia="Times New Roman" w:hAnsi="Times New Roman" w:cs="Times New Roman"/>
          <w:sz w:val="24"/>
          <w:szCs w:val="24"/>
        </w:rPr>
        <w:t xml:space="preserve"> de despesas entre rubricas.</w:t>
      </w:r>
    </w:p>
    <w:p w14:paraId="3FCEEDD0"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Apresentar a prestação de contas financeira em até 60 (sessenta) dias após o término da vigência do Plano de Trabalho de Pesquisa, em conformidade com o disposto no Manual de Utilização de Recursos Financeiros e Prestação de Contas;</w:t>
      </w:r>
    </w:p>
    <w:p w14:paraId="0086103F" w14:textId="77777777" w:rsidR="001423A9" w:rsidRDefault="001423A9" w:rsidP="001423A9">
      <w:pPr>
        <w:spacing w:before="360" w:after="120"/>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sz w:val="24"/>
          <w:szCs w:val="24"/>
        </w:rPr>
        <w:t>DAS PUBLICAÇÕES E DIVULGAÇÃO</w:t>
      </w:r>
    </w:p>
    <w:p w14:paraId="3229DF89" w14:textId="77777777" w:rsidR="001423A9" w:rsidRDefault="001423A9" w:rsidP="001423A9">
      <w:pPr>
        <w:spacing w:before="240" w:after="2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Trabalhos publicados e sua divulgação, sob qualquer forma de comunicação ou por qualquer veículo, de resultados obtidos com recursos do projeto, deverão, obrigatoriamente, no idioma da divulgação, fazer menção expressa ao apoio recebido do Instituto Federal de Goiás.</w:t>
      </w:r>
    </w:p>
    <w:p w14:paraId="0B71496A" w14:textId="77777777" w:rsidR="001423A9" w:rsidRDefault="001423A9" w:rsidP="001423A9">
      <w:pPr>
        <w:spacing w:before="240" w:after="240"/>
        <w:ind w:left="1240" w:hanging="440"/>
        <w:jc w:val="both"/>
        <w:rPr>
          <w:rFonts w:ascii="Times New Roman" w:eastAsia="Times New Roman" w:hAnsi="Times New Roman" w:cs="Times New Roman"/>
          <w:sz w:val="24"/>
          <w:szCs w:val="24"/>
        </w:rPr>
      </w:pPr>
    </w:p>
    <w:p w14:paraId="141A20CB" w14:textId="77777777" w:rsidR="001423A9" w:rsidRDefault="001423A9" w:rsidP="001423A9">
      <w:pPr>
        <w:spacing w:before="360" w:after="120"/>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sz w:val="24"/>
          <w:szCs w:val="24"/>
        </w:rPr>
        <w:t>DA PROPRIEDADE INTELECTUAL / CRIAÇÃO PROTEGIDA</w:t>
      </w:r>
    </w:p>
    <w:p w14:paraId="4968CD32" w14:textId="77777777" w:rsidR="001423A9" w:rsidRDefault="001423A9" w:rsidP="001423A9">
      <w:pPr>
        <w:spacing w:before="240" w:after="2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Caso os resultados do projeto de pesquisa, ou o relatório em si, venham a ter valor comercial ou possam levar ao desenvolvimento de um produto ou método envolvendo o estabelecimento de uma patente, a troca de informações e a reserva dos direitos, em cada caso, dar-se-á de acordo com o estabelecido na Lei de Inovação, nº 10.973, de 2 de dezembro de 2004, regulamentada pelo Decreto nº 5.563, de 11 de outubro de 2005 e pelas normas institucionais.</w:t>
      </w:r>
    </w:p>
    <w:p w14:paraId="5494D742" w14:textId="77777777" w:rsidR="001423A9" w:rsidRDefault="001423A9" w:rsidP="001423A9">
      <w:pPr>
        <w:spacing w:before="360" w:after="120"/>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sz w:val="24"/>
          <w:szCs w:val="24"/>
        </w:rPr>
        <w:t>DO ACOMPANHAMENTO</w:t>
      </w:r>
    </w:p>
    <w:p w14:paraId="6D12EA45" w14:textId="77777777" w:rsidR="001423A9" w:rsidRDefault="001423A9" w:rsidP="001423A9">
      <w:pPr>
        <w:tabs>
          <w:tab w:val="left" w:pos="623"/>
        </w:tabs>
        <w:spacing w:before="60"/>
        <w:ind w:left="792" w:right="646"/>
        <w:jc w:val="both"/>
        <w:rPr>
          <w:rFonts w:ascii="Times New Roman" w:eastAsia="Times New Roman" w:hAnsi="Times New Roman" w:cs="Times New Roman"/>
          <w:sz w:val="24"/>
          <w:szCs w:val="24"/>
        </w:rPr>
      </w:pPr>
    </w:p>
    <w:p w14:paraId="09B25D78" w14:textId="77777777" w:rsidR="001423A9" w:rsidRDefault="001423A9" w:rsidP="001423A9">
      <w:pPr>
        <w:spacing w:before="60"/>
        <w:ind w:left="122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 acompanhamento da execução dos Planos de Trabalho caberá a Diretoria Geral do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Inhumas e à Gerência de Pesquisa, Pós-graduação e Extensão do Instituto Federal de Educação, Ciência e Tecnologia de Goiás -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Inhumas.</w:t>
      </w:r>
    </w:p>
    <w:p w14:paraId="1AB87693" w14:textId="77777777" w:rsidR="001423A9" w:rsidRDefault="001423A9" w:rsidP="001423A9">
      <w:pPr>
        <w:spacing w:before="60"/>
        <w:ind w:left="122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Gerência de Pesquisa, Pós-graduação e Extensão IFG-</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Inhumas fará a conferência da prestação de contas, mantendo-a arquivada para futuras auditorias, apensadas às propostas submetidas no SUAP (Sistema Unificado de Administração Pública) </w:t>
      </w:r>
    </w:p>
    <w:p w14:paraId="31A99ECC" w14:textId="77777777" w:rsidR="001423A9" w:rsidRDefault="001423A9" w:rsidP="001423A9">
      <w:pPr>
        <w:spacing w:before="360" w:after="120"/>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sz w:val="24"/>
          <w:szCs w:val="24"/>
        </w:rPr>
        <w:t>DA DESISTÊNCIA E SUSPENSÃO</w:t>
      </w:r>
    </w:p>
    <w:p w14:paraId="533DD731"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Quando o/a pesquisador/a desistir da execução do plano de trabalho, antes do seu início, os recursos serão devolvidos ao IFG, com justificativa plausível da desistência, no prazo de 30 (trinta) dias de seu recebimento. A não observância deste prazo implicará a correção do valor originalmente concedido, na forma da legislação aplicável aos débitos da Fazenda Nacional.</w:t>
      </w:r>
    </w:p>
    <w:p w14:paraId="06755FE6"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O/A pesquisador/a deverá comunicar formalmente à GEPEX do IFG-</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Inhumas qualquer descontinuidade do plano de trabalho, acompanhada da devida justificativa.</w:t>
      </w:r>
    </w:p>
    <w:p w14:paraId="5FECC003" w14:textId="77777777" w:rsidR="001423A9" w:rsidRDefault="001423A9" w:rsidP="001423A9">
      <w:pPr>
        <w:spacing w:before="140"/>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No prazo de 30 (trinta) dias da comunicação da descontinuidade, deverão ser apresentados o relatório técnico e a prestação de contas, como também deverá ser devolvido ao IFG eventual saldo financeiro.</w:t>
      </w:r>
    </w:p>
    <w:p w14:paraId="188F1B8B" w14:textId="77777777" w:rsidR="001423A9" w:rsidRDefault="001423A9" w:rsidP="001423A9">
      <w:pPr>
        <w:spacing w:before="140"/>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  A não observância do prazo estabelecido no item 5.2.1 implicará a correção do valor originalmente concedido, na forma da legislação aplicável aos débitos da Fazenda Nacional.</w:t>
      </w:r>
    </w:p>
    <w:p w14:paraId="45205EEA"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A liberação dos recursos do apoio financeiro ao projeto/plano de trabalho, bem como de quaisquer outros benefícios aprovados pelo IFG, será suspensa quando ocorrer uma das seguintes impropriedades:</w:t>
      </w:r>
    </w:p>
    <w:p w14:paraId="05E6126D" w14:textId="77777777" w:rsidR="001423A9" w:rsidRDefault="001423A9" w:rsidP="001423A9">
      <w:pPr>
        <w:spacing w:before="140"/>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     Desvio de finalidade na utilização dos recursos adquiridos no projeto.</w:t>
      </w:r>
    </w:p>
    <w:p w14:paraId="665D83C9" w14:textId="77777777" w:rsidR="001423A9" w:rsidRDefault="001423A9" w:rsidP="001423A9">
      <w:pPr>
        <w:spacing w:before="140"/>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5.3.2.    Atrasos não justificados no cumprimento das etapas ou fases programadas no plano de trabalho.</w:t>
      </w:r>
    </w:p>
    <w:p w14:paraId="2C95ABF5" w14:textId="77777777" w:rsidR="001423A9" w:rsidRDefault="001423A9" w:rsidP="001423A9">
      <w:pPr>
        <w:spacing w:before="140"/>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Quando for descumprida qualquer condição deste instrumento.</w:t>
      </w:r>
    </w:p>
    <w:p w14:paraId="04F2AC1A"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O/A pesquisador/a, cuja prestação de contas e relatório técnico final do projeto/plano de trabalho com vigência expirada não forem aprovados, será considerado inadimplente e terá suspenso o pagamento de projetos/planos de trabalho, vigentes, bem como a concessão de </w:t>
      </w:r>
      <w:r>
        <w:rPr>
          <w:rFonts w:ascii="Times New Roman" w:eastAsia="Times New Roman" w:hAnsi="Times New Roman" w:cs="Times New Roman"/>
          <w:sz w:val="24"/>
          <w:szCs w:val="24"/>
        </w:rPr>
        <w:lastRenderedPageBreak/>
        <w:t>novas modalidades de apoio, sem prejuízo de outras medidas julgadas necessárias pelo IFG e previstas na lei.</w:t>
      </w:r>
    </w:p>
    <w:p w14:paraId="6CC1099B" w14:textId="77777777" w:rsidR="001423A9" w:rsidRDefault="001423A9" w:rsidP="001423A9">
      <w:pPr>
        <w:spacing w:before="360" w:after="120"/>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sz w:val="24"/>
          <w:szCs w:val="24"/>
        </w:rPr>
        <w:t>DAS DISPOSIÇÕES FINAIS</w:t>
      </w:r>
    </w:p>
    <w:p w14:paraId="449A66EF"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pessoal envolvido/contratado na execução do Plano de Trabalho de Pesquisa, não possuirá vínculo de qualquer natureza com o IFG e deste não poderá demandar quaisquer pagamentos, sendo estes de inteira responsabilidade do coordenador.</w:t>
      </w:r>
    </w:p>
    <w:p w14:paraId="726BC0C1"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processo somente será encerrado após as aprovações do relatório técnico final e da prestação de contas, a serem entregues em até 60 (sessenta dias) após o término da vigência do plano de trabalho, e desde que cumpridas todas as condições previstas neste instrumento e nas normas aplicáveis.</w:t>
      </w:r>
    </w:p>
    <w:p w14:paraId="2ACE9577"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descumprimento de qualquer condição constante deste instrumento e a inobservância de dispositivos legais aplicáveis implicará o encerramento imediato do apoio financeiro aprovado e obrigará o coordenador a ressarcir integralmente o IFG de todas as despesas realizadas, atualizadas nos termos da legislação, sem prejuízo da aplicação de penalidades cabíveis.</w:t>
      </w:r>
    </w:p>
    <w:p w14:paraId="5248B8B1"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 recusa ou omissão do/a pesquisador/a, quanto ao ressarcimento de que trata este item, ensejará a consequente abertura de tomada de contas especial e a decorrente inscrição do débito no Cadastro de </w:t>
      </w:r>
      <w:proofErr w:type="spellStart"/>
      <w:r>
        <w:rPr>
          <w:rFonts w:ascii="Times New Roman" w:eastAsia="Times New Roman" w:hAnsi="Times New Roman" w:cs="Times New Roman"/>
          <w:sz w:val="24"/>
          <w:szCs w:val="24"/>
        </w:rPr>
        <w:t>Inadimplência</w:t>
      </w:r>
      <w:proofErr w:type="spellEnd"/>
      <w:r>
        <w:rPr>
          <w:rFonts w:ascii="Times New Roman" w:eastAsia="Times New Roman" w:hAnsi="Times New Roman" w:cs="Times New Roman"/>
          <w:sz w:val="24"/>
          <w:szCs w:val="24"/>
        </w:rPr>
        <w:t xml:space="preserve"> Institucional - CADIN e do Tesouro Nacional.</w:t>
      </w:r>
    </w:p>
    <w:p w14:paraId="4AE23C8F"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O/A pesquisador/a reconhece que ao IFG, por meio da Diretoria Geral do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Inhumas e da Gerência de Pesquisa, Pós-graduação e Extensão IFG-</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Inhumas,  compete</w:t>
      </w:r>
      <w:proofErr w:type="gramEnd"/>
      <w:r>
        <w:rPr>
          <w:rFonts w:ascii="Times New Roman" w:eastAsia="Times New Roman" w:hAnsi="Times New Roman" w:cs="Times New Roman"/>
          <w:sz w:val="24"/>
          <w:szCs w:val="24"/>
        </w:rPr>
        <w:t xml:space="preserve"> exercer a autoridade normativa de controle e fiscalização sobre a execução do Plano de Trabalho de Pesquisa, bem como assumir ou transferir a responsabilidade pela mesma, no caso da paralisação ou de fato relevante que venha a ocorrer, de modo a evitar a descontinuidade das atividades.</w:t>
      </w:r>
    </w:p>
    <w:p w14:paraId="643A271E"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concessão dos recursos financeiros aos/as pesquisadores/as está condicionada à disponibilidade orçamentária do IFG, e irá ocorrer mediante a descentralização de 1 parcela.</w:t>
      </w:r>
    </w:p>
    <w:p w14:paraId="25FB9CB1"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Os casos omissos, não previstos neste documento, serão analisados e deliberados pela Diretoria Geral do IFG- </w:t>
      </w:r>
      <w:proofErr w:type="spellStart"/>
      <w:r>
        <w:rPr>
          <w:rFonts w:ascii="Times New Roman" w:eastAsia="Times New Roman" w:hAnsi="Times New Roman" w:cs="Times New Roman"/>
          <w:sz w:val="24"/>
          <w:szCs w:val="24"/>
        </w:rPr>
        <w:t>Câmpus</w:t>
      </w:r>
      <w:proofErr w:type="spellEnd"/>
      <w:r>
        <w:rPr>
          <w:rFonts w:ascii="Times New Roman" w:eastAsia="Times New Roman" w:hAnsi="Times New Roman" w:cs="Times New Roman"/>
          <w:sz w:val="24"/>
          <w:szCs w:val="24"/>
        </w:rPr>
        <w:t xml:space="preserve"> Inhumas.</w:t>
      </w:r>
    </w:p>
    <w:p w14:paraId="40B6F044" w14:textId="77777777" w:rsidR="001423A9" w:rsidRPr="001423A9" w:rsidRDefault="001423A9" w:rsidP="001423A9">
      <w:pPr>
        <w:spacing w:before="360" w:after="120"/>
        <w:ind w:left="720" w:hanging="360"/>
        <w:jc w:val="both"/>
        <w:rPr>
          <w:rFonts w:ascii="Times New Roman" w:eastAsia="Times New Roman" w:hAnsi="Times New Roman" w:cs="Times New Roman"/>
          <w:b/>
          <w:bCs/>
          <w:sz w:val="24"/>
          <w:szCs w:val="24"/>
        </w:rPr>
      </w:pPr>
      <w:r w:rsidRPr="001423A9">
        <w:rPr>
          <w:rFonts w:ascii="Times New Roman" w:eastAsia="Times New Roman" w:hAnsi="Times New Roman" w:cs="Times New Roman"/>
          <w:b/>
          <w:bCs/>
          <w:sz w:val="24"/>
          <w:szCs w:val="24"/>
        </w:rPr>
        <w:t>7.</w:t>
      </w:r>
      <w:r w:rsidRPr="001423A9">
        <w:rPr>
          <w:rFonts w:ascii="Times New Roman" w:eastAsia="Times New Roman" w:hAnsi="Times New Roman" w:cs="Times New Roman"/>
          <w:b/>
          <w:bCs/>
          <w:sz w:val="14"/>
          <w:szCs w:val="14"/>
        </w:rPr>
        <w:t xml:space="preserve">  </w:t>
      </w:r>
      <w:r w:rsidRPr="001423A9">
        <w:rPr>
          <w:rFonts w:ascii="Times New Roman" w:eastAsia="Times New Roman" w:hAnsi="Times New Roman" w:cs="Times New Roman"/>
          <w:b/>
          <w:bCs/>
          <w:sz w:val="14"/>
          <w:szCs w:val="14"/>
        </w:rPr>
        <w:tab/>
      </w:r>
      <w:r w:rsidRPr="001423A9">
        <w:rPr>
          <w:rFonts w:ascii="Times New Roman" w:eastAsia="Times New Roman" w:hAnsi="Times New Roman" w:cs="Times New Roman"/>
          <w:b/>
          <w:bCs/>
          <w:sz w:val="24"/>
          <w:szCs w:val="24"/>
        </w:rPr>
        <w:t>ACEITE</w:t>
      </w:r>
    </w:p>
    <w:p w14:paraId="452C42DC"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Declaro conhecer, concordar e atender integralmente às exigências do edital acima especificado e às condições contidas nos regulamentos institucionais.</w:t>
      </w:r>
    </w:p>
    <w:p w14:paraId="4E0DC9D0"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Declaro ainda que li e aceitei integralmente os termos deste documento, comprometendo-me a cumpri-los fielmente, não podendo em nenhuma hipótese, deles alegar desconhecimento.</w:t>
      </w:r>
    </w:p>
    <w:p w14:paraId="02040CE1"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Declaro que sou titular da conta corrente onde será creditado o recurso desta chamada, conforme os dados abaixo:</w:t>
      </w:r>
    </w:p>
    <w:p w14:paraId="706EBED2"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Banco:</w:t>
      </w:r>
    </w:p>
    <w:p w14:paraId="639B6923"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do Titular:</w:t>
      </w:r>
    </w:p>
    <w:p w14:paraId="5C1D5561"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p>
    <w:p w14:paraId="6C615921"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Agência:</w:t>
      </w:r>
    </w:p>
    <w:p w14:paraId="6DA54098"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Conta Corrente:</w:t>
      </w:r>
    </w:p>
    <w:p w14:paraId="77ABFFED"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 A conta indicada deverá ser em nome do proponente da proposta, não sendo permitido conta poupança.</w:t>
      </w:r>
    </w:p>
    <w:p w14:paraId="1C8618EB"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prazo para utilização dos recursos financeiros começa a vigorar a partir da data da assinatura deste Termo de Concessão e Aceitação, pelo período constante no Edital correspondente.</w:t>
      </w:r>
    </w:p>
    <w:p w14:paraId="5F769F8C" w14:textId="77777777" w:rsidR="001423A9" w:rsidRDefault="001423A9" w:rsidP="001423A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D3B631" w14:textId="77777777" w:rsidR="001423A9" w:rsidRDefault="001423A9" w:rsidP="001423A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016B11" w14:textId="773B15D6" w:rsidR="001423A9" w:rsidRDefault="001423A9" w:rsidP="001423A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_____________________________________________________</w:t>
      </w:r>
    </w:p>
    <w:p w14:paraId="47AF8C9F" w14:textId="68C3A0B5" w:rsidR="001423A9" w:rsidRPr="001423A9" w:rsidRDefault="001423A9" w:rsidP="001423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w:t>
      </w:r>
    </w:p>
    <w:sectPr w:rsidR="001423A9" w:rsidRPr="001423A9" w:rsidSect="007D1BA6">
      <w:headerReference w:type="default" r:id="rId8"/>
      <w:pgSz w:w="11910" w:h="16840"/>
      <w:pgMar w:top="1701" w:right="851" w:bottom="1134" w:left="851" w:header="73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4E27" w14:textId="77777777" w:rsidR="00A601D4" w:rsidRDefault="00A601D4">
      <w:r>
        <w:separator/>
      </w:r>
    </w:p>
  </w:endnote>
  <w:endnote w:type="continuationSeparator" w:id="0">
    <w:p w14:paraId="7FA66CE1" w14:textId="77777777" w:rsidR="00A601D4" w:rsidRDefault="00A6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orndale AMT">
    <w:altName w:val="Times New Roman"/>
    <w:charset w:val="00"/>
    <w:family w:val="auto"/>
    <w:pitch w:val="default"/>
  </w:font>
  <w:font w:name="Albany A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ndale Sans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5586" w14:textId="77777777" w:rsidR="00A601D4" w:rsidRDefault="00A601D4">
      <w:r>
        <w:separator/>
      </w:r>
    </w:p>
  </w:footnote>
  <w:footnote w:type="continuationSeparator" w:id="0">
    <w:p w14:paraId="60B64C6E" w14:textId="77777777" w:rsidR="00A601D4" w:rsidRDefault="00A6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733A" w14:textId="77777777" w:rsidR="005A5032" w:rsidRDefault="005A503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f6"/>
      <w:tblW w:w="9495" w:type="dxa"/>
      <w:tblLayout w:type="fixed"/>
      <w:tblLook w:val="0400" w:firstRow="0" w:lastRow="0" w:firstColumn="0" w:lastColumn="0" w:noHBand="0" w:noVBand="1"/>
    </w:tblPr>
    <w:tblGrid>
      <w:gridCol w:w="2622"/>
      <w:gridCol w:w="6873"/>
    </w:tblGrid>
    <w:tr w:rsidR="005A5032" w14:paraId="04E66A4D" w14:textId="77777777">
      <w:trPr>
        <w:trHeight w:val="149"/>
      </w:trPr>
      <w:tc>
        <w:tcPr>
          <w:tcW w:w="2622" w:type="dxa"/>
          <w:vAlign w:val="center"/>
        </w:tcPr>
        <w:p w14:paraId="2F89786C" w14:textId="77777777" w:rsidR="005A5032" w:rsidRDefault="000036FC">
          <w:pPr>
            <w:rPr>
              <w:rFonts w:ascii="Thorndale AMT" w:eastAsia="Thorndale AMT" w:hAnsi="Thorndale AMT" w:cs="Thorndale AMT"/>
              <w:sz w:val="28"/>
              <w:szCs w:val="28"/>
            </w:rPr>
          </w:pPr>
          <w:r>
            <w:rPr>
              <w:noProof/>
            </w:rPr>
            <w:drawing>
              <wp:anchor distT="0" distB="0" distL="114935" distR="114935" simplePos="0" relativeHeight="251660288" behindDoc="0" locked="0" layoutInCell="1" hidden="0" allowOverlap="1" wp14:anchorId="5E7DAB25" wp14:editId="161B9C8F">
                <wp:simplePos x="0" y="0"/>
                <wp:positionH relativeFrom="column">
                  <wp:posOffset>-151129</wp:posOffset>
                </wp:positionH>
                <wp:positionV relativeFrom="paragraph">
                  <wp:posOffset>-74929</wp:posOffset>
                </wp:positionV>
                <wp:extent cx="2105025" cy="733425"/>
                <wp:effectExtent l="0" t="0" r="0" b="0"/>
                <wp:wrapNone/>
                <wp:docPr id="6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05025" cy="733425"/>
                        </a:xfrm>
                        <a:prstGeom prst="rect">
                          <a:avLst/>
                        </a:prstGeom>
                        <a:ln/>
                      </pic:spPr>
                    </pic:pic>
                  </a:graphicData>
                </a:graphic>
              </wp:anchor>
            </w:drawing>
          </w:r>
        </w:p>
      </w:tc>
      <w:tc>
        <w:tcPr>
          <w:tcW w:w="6873" w:type="dxa"/>
          <w:vAlign w:val="center"/>
        </w:tcPr>
        <w:p w14:paraId="47DDA6EB" w14:textId="77777777" w:rsidR="005A5032" w:rsidRDefault="000036FC">
          <w:pPr>
            <w:pBdr>
              <w:top w:val="nil"/>
              <w:left w:val="nil"/>
              <w:bottom w:val="nil"/>
              <w:right w:val="nil"/>
              <w:between w:val="nil"/>
            </w:pBdr>
            <w:tabs>
              <w:tab w:val="center" w:pos="4252"/>
              <w:tab w:val="right" w:pos="8504"/>
            </w:tabs>
            <w:ind w:left="709"/>
            <w:rPr>
              <w:color w:val="000000"/>
              <w:sz w:val="18"/>
              <w:szCs w:val="18"/>
            </w:rPr>
          </w:pPr>
          <w:r>
            <w:rPr>
              <w:color w:val="000000"/>
              <w:sz w:val="18"/>
              <w:szCs w:val="18"/>
            </w:rPr>
            <w:t>Ministério da Educação</w:t>
          </w:r>
        </w:p>
        <w:p w14:paraId="1D595D7D" w14:textId="77777777" w:rsidR="005A5032" w:rsidRDefault="000036FC">
          <w:pPr>
            <w:pBdr>
              <w:top w:val="nil"/>
              <w:left w:val="nil"/>
              <w:bottom w:val="nil"/>
              <w:right w:val="nil"/>
              <w:between w:val="nil"/>
            </w:pBdr>
            <w:tabs>
              <w:tab w:val="center" w:pos="4252"/>
              <w:tab w:val="right" w:pos="8504"/>
            </w:tabs>
            <w:ind w:left="709"/>
            <w:rPr>
              <w:color w:val="000000"/>
              <w:sz w:val="18"/>
              <w:szCs w:val="18"/>
            </w:rPr>
          </w:pPr>
          <w:r>
            <w:rPr>
              <w:color w:val="000000"/>
              <w:sz w:val="18"/>
              <w:szCs w:val="18"/>
            </w:rPr>
            <w:t>Secretaria de Educação Profissional e Tecnológica</w:t>
          </w:r>
        </w:p>
        <w:p w14:paraId="08644F44" w14:textId="77777777" w:rsidR="005A5032" w:rsidRDefault="000036FC">
          <w:pPr>
            <w:pBdr>
              <w:top w:val="nil"/>
              <w:left w:val="nil"/>
              <w:bottom w:val="nil"/>
              <w:right w:val="nil"/>
              <w:between w:val="nil"/>
            </w:pBdr>
            <w:tabs>
              <w:tab w:val="center" w:pos="4252"/>
              <w:tab w:val="right" w:pos="8504"/>
            </w:tabs>
            <w:ind w:left="709"/>
            <w:rPr>
              <w:color w:val="000000"/>
              <w:sz w:val="18"/>
              <w:szCs w:val="18"/>
            </w:rPr>
          </w:pPr>
          <w:r>
            <w:rPr>
              <w:color w:val="000000"/>
              <w:sz w:val="18"/>
              <w:szCs w:val="18"/>
            </w:rPr>
            <w:t>Instituto Federal de Educação, Ciência e Tecnologia de Goiás</w:t>
          </w:r>
        </w:p>
        <w:p w14:paraId="0B41A8CA" w14:textId="77777777" w:rsidR="005A5032" w:rsidRDefault="000036FC">
          <w:pPr>
            <w:ind w:left="709"/>
            <w:rPr>
              <w:sz w:val="18"/>
              <w:szCs w:val="18"/>
            </w:rPr>
          </w:pPr>
          <w:r>
            <w:rPr>
              <w:sz w:val="18"/>
              <w:szCs w:val="18"/>
            </w:rPr>
            <w:t xml:space="preserve">Diretoria Geral do </w:t>
          </w:r>
          <w:proofErr w:type="spellStart"/>
          <w:r>
            <w:rPr>
              <w:sz w:val="18"/>
              <w:szCs w:val="18"/>
            </w:rPr>
            <w:t>Câmpus</w:t>
          </w:r>
          <w:proofErr w:type="spellEnd"/>
          <w:r>
            <w:rPr>
              <w:sz w:val="18"/>
              <w:szCs w:val="18"/>
            </w:rPr>
            <w:t xml:space="preserve"> Inhumas</w:t>
          </w:r>
        </w:p>
        <w:p w14:paraId="70F512FD" w14:textId="77777777" w:rsidR="005A5032" w:rsidRDefault="000036FC">
          <w:pPr>
            <w:ind w:left="709"/>
            <w:rPr>
              <w:sz w:val="18"/>
              <w:szCs w:val="18"/>
            </w:rPr>
          </w:pPr>
          <w:r>
            <w:rPr>
              <w:sz w:val="18"/>
              <w:szCs w:val="18"/>
            </w:rPr>
            <w:t xml:space="preserve">Gerência de Pesquisa, Extensão e Pós-graduação </w:t>
          </w:r>
        </w:p>
      </w:tc>
    </w:tr>
  </w:tbl>
  <w:p w14:paraId="1688BF27" w14:textId="77777777" w:rsidR="005A5032" w:rsidRDefault="005A503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6BDB"/>
    <w:multiLevelType w:val="multilevel"/>
    <w:tmpl w:val="E65282C6"/>
    <w:lvl w:ilvl="0">
      <w:start w:val="2"/>
      <w:numFmt w:val="decimal"/>
      <w:lvlText w:val="%1"/>
      <w:lvlJc w:val="left"/>
      <w:pPr>
        <w:ind w:left="522" w:hanging="213"/>
      </w:pPr>
      <w:rPr>
        <w:rFonts w:ascii="Arial" w:eastAsia="Arial" w:hAnsi="Arial" w:cs="Arial"/>
        <w:b/>
        <w:color w:val="FFFFFF"/>
        <w:sz w:val="22"/>
        <w:szCs w:val="22"/>
        <w:highlight w:val="black"/>
      </w:rPr>
    </w:lvl>
    <w:lvl w:ilvl="1">
      <w:start w:val="1"/>
      <w:numFmt w:val="decimal"/>
      <w:lvlText w:val="%2)"/>
      <w:lvlJc w:val="left"/>
      <w:pPr>
        <w:ind w:left="1036" w:hanging="194"/>
      </w:pPr>
      <w:rPr>
        <w:b/>
      </w:rPr>
    </w:lvl>
    <w:lvl w:ilvl="2">
      <w:start w:val="1"/>
      <w:numFmt w:val="bullet"/>
      <w:lvlText w:val="•"/>
      <w:lvlJc w:val="left"/>
      <w:pPr>
        <w:ind w:left="2082" w:hanging="194"/>
      </w:pPr>
    </w:lvl>
    <w:lvl w:ilvl="3">
      <w:start w:val="1"/>
      <w:numFmt w:val="bullet"/>
      <w:lvlText w:val="•"/>
      <w:lvlJc w:val="left"/>
      <w:pPr>
        <w:ind w:left="3125" w:hanging="194"/>
      </w:pPr>
    </w:lvl>
    <w:lvl w:ilvl="4">
      <w:start w:val="1"/>
      <w:numFmt w:val="bullet"/>
      <w:lvlText w:val="•"/>
      <w:lvlJc w:val="left"/>
      <w:pPr>
        <w:ind w:left="4168" w:hanging="193"/>
      </w:pPr>
    </w:lvl>
    <w:lvl w:ilvl="5">
      <w:start w:val="1"/>
      <w:numFmt w:val="bullet"/>
      <w:lvlText w:val="•"/>
      <w:lvlJc w:val="left"/>
      <w:pPr>
        <w:ind w:left="5211" w:hanging="194"/>
      </w:pPr>
    </w:lvl>
    <w:lvl w:ilvl="6">
      <w:start w:val="1"/>
      <w:numFmt w:val="bullet"/>
      <w:lvlText w:val="•"/>
      <w:lvlJc w:val="left"/>
      <w:pPr>
        <w:ind w:left="6254" w:hanging="194"/>
      </w:pPr>
    </w:lvl>
    <w:lvl w:ilvl="7">
      <w:start w:val="1"/>
      <w:numFmt w:val="bullet"/>
      <w:lvlText w:val="•"/>
      <w:lvlJc w:val="left"/>
      <w:pPr>
        <w:ind w:left="7297" w:hanging="193"/>
      </w:pPr>
    </w:lvl>
    <w:lvl w:ilvl="8">
      <w:start w:val="1"/>
      <w:numFmt w:val="bullet"/>
      <w:lvlText w:val="•"/>
      <w:lvlJc w:val="left"/>
      <w:pPr>
        <w:ind w:left="8340" w:hanging="194"/>
      </w:pPr>
    </w:lvl>
  </w:abstractNum>
  <w:abstractNum w:abstractNumId="1" w15:restartNumberingAfterBreak="0">
    <w:nsid w:val="259E5089"/>
    <w:multiLevelType w:val="multilevel"/>
    <w:tmpl w:val="9CFACAE4"/>
    <w:lvl w:ilvl="0">
      <w:start w:val="1"/>
      <w:numFmt w:val="lowerLetter"/>
      <w:lvlText w:val="%1)"/>
      <w:lvlJc w:val="left"/>
      <w:pPr>
        <w:ind w:left="774" w:hanging="359"/>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2" w15:restartNumberingAfterBreak="0">
    <w:nsid w:val="3CCE70CF"/>
    <w:multiLevelType w:val="multilevel"/>
    <w:tmpl w:val="2520B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032"/>
    <w:rsid w:val="000036FC"/>
    <w:rsid w:val="001423A9"/>
    <w:rsid w:val="00215333"/>
    <w:rsid w:val="005A5032"/>
    <w:rsid w:val="00773FF9"/>
    <w:rsid w:val="007D1BA6"/>
    <w:rsid w:val="007E2FCB"/>
    <w:rsid w:val="00921F6A"/>
    <w:rsid w:val="00A601D4"/>
    <w:rsid w:val="00B666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8C34"/>
  <w15:docId w15:val="{5B5AF04F-AE35-4B88-9EA8-9A6D112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pt-PT" w:bidi="pt-PT"/>
    </w:rPr>
  </w:style>
  <w:style w:type="paragraph" w:styleId="Ttulo1">
    <w:name w:val="heading 1"/>
    <w:basedOn w:val="Normal"/>
    <w:uiPriority w:val="9"/>
    <w:qFormat/>
    <w:pPr>
      <w:ind w:left="580" w:hanging="248"/>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33"/>
      <w:jc w:val="both"/>
    </w:pPr>
  </w:style>
  <w:style w:type="paragraph" w:styleId="PargrafodaLista">
    <w:name w:val="List Paragraph"/>
    <w:basedOn w:val="Normal"/>
    <w:uiPriority w:val="1"/>
    <w:qFormat/>
    <w:pPr>
      <w:ind w:left="333"/>
      <w:jc w:val="both"/>
    </w:pPr>
  </w:style>
  <w:style w:type="paragraph" w:customStyle="1" w:styleId="TableParagraph">
    <w:name w:val="Table Paragraph"/>
    <w:basedOn w:val="Normal"/>
    <w:uiPriority w:val="1"/>
    <w:qFormat/>
    <w:pPr>
      <w:spacing w:line="234" w:lineRule="exact"/>
      <w:ind w:left="102"/>
    </w:pPr>
  </w:style>
  <w:style w:type="paragraph" w:styleId="Cabealho">
    <w:name w:val="header"/>
    <w:basedOn w:val="Normal"/>
    <w:link w:val="CabealhoChar"/>
    <w:unhideWhenUsed/>
    <w:rsid w:val="00606EE2"/>
    <w:pPr>
      <w:tabs>
        <w:tab w:val="center" w:pos="4252"/>
        <w:tab w:val="right" w:pos="8504"/>
      </w:tabs>
    </w:pPr>
  </w:style>
  <w:style w:type="character" w:customStyle="1" w:styleId="CabealhoChar">
    <w:name w:val="Cabeçalho Char"/>
    <w:basedOn w:val="Fontepargpadro"/>
    <w:link w:val="Cabealho"/>
    <w:rsid w:val="00606EE2"/>
    <w:rPr>
      <w:rFonts w:ascii="Arial" w:eastAsia="Arial" w:hAnsi="Arial" w:cs="Arial"/>
      <w:lang w:val="pt-PT" w:eastAsia="pt-PT" w:bidi="pt-PT"/>
    </w:rPr>
  </w:style>
  <w:style w:type="paragraph" w:styleId="Rodap">
    <w:name w:val="footer"/>
    <w:basedOn w:val="Normal"/>
    <w:link w:val="RodapChar"/>
    <w:uiPriority w:val="99"/>
    <w:unhideWhenUsed/>
    <w:rsid w:val="00606EE2"/>
    <w:pPr>
      <w:tabs>
        <w:tab w:val="center" w:pos="4252"/>
        <w:tab w:val="right" w:pos="8504"/>
      </w:tabs>
    </w:pPr>
  </w:style>
  <w:style w:type="character" w:customStyle="1" w:styleId="RodapChar">
    <w:name w:val="Rodapé Char"/>
    <w:basedOn w:val="Fontepargpadro"/>
    <w:link w:val="Rodap"/>
    <w:uiPriority w:val="99"/>
    <w:rsid w:val="00606EE2"/>
    <w:rPr>
      <w:rFonts w:ascii="Arial" w:eastAsia="Arial" w:hAnsi="Arial" w:cs="Arial"/>
      <w:lang w:val="pt-PT" w:eastAsia="pt-PT" w:bidi="pt-PT"/>
    </w:rPr>
  </w:style>
  <w:style w:type="character" w:styleId="Hyperlink">
    <w:name w:val="Hyperlink"/>
    <w:basedOn w:val="Fontepargpadro"/>
    <w:uiPriority w:val="99"/>
    <w:unhideWhenUsed/>
    <w:rsid w:val="000E776C"/>
    <w:rPr>
      <w:color w:val="0000FF" w:themeColor="hyperlink"/>
      <w:u w:val="single"/>
    </w:rPr>
  </w:style>
  <w:style w:type="paragraph" w:customStyle="1" w:styleId="Contedodatabela">
    <w:name w:val="Conteúdo da tabela"/>
    <w:basedOn w:val="Corpodetexto"/>
    <w:rsid w:val="0006542D"/>
    <w:pPr>
      <w:suppressAutoHyphens/>
      <w:spacing w:after="120"/>
      <w:ind w:left="0"/>
      <w:jc w:val="left"/>
    </w:pPr>
    <w:rPr>
      <w:rFonts w:ascii="Thorndale AMT" w:eastAsia="Albany AMT" w:hAnsi="Thorndale AMT" w:cs="Times New Roman"/>
      <w:sz w:val="24"/>
      <w:szCs w:val="20"/>
      <w:lang w:val="pt-BR" w:eastAsia="pt-BR" w:bidi="ar-SA"/>
    </w:rPr>
  </w:style>
  <w:style w:type="character" w:styleId="Nmerodepgina">
    <w:name w:val="page number"/>
    <w:basedOn w:val="Fontepargpadro"/>
    <w:rsid w:val="00667717"/>
    <w:rPr>
      <w:w w:val="100"/>
      <w:position w:val="-1"/>
      <w:effect w:val="none"/>
      <w:vertAlign w:val="baseline"/>
      <w:cs w:val="0"/>
      <w:em w:val="none"/>
    </w:rPr>
  </w:style>
  <w:style w:type="paragraph" w:customStyle="1" w:styleId="logo">
    <w:name w:val="logo"/>
    <w:basedOn w:val="Normal"/>
    <w:rsid w:val="00667717"/>
    <w:pPr>
      <w:widowControl/>
      <w:spacing w:line="1" w:lineRule="atLeast"/>
      <w:ind w:leftChars="-1" w:left="-1" w:hangingChars="1" w:hanging="1"/>
      <w:textDirection w:val="btLr"/>
      <w:textAlignment w:val="top"/>
      <w:outlineLvl w:val="0"/>
    </w:pPr>
    <w:rPr>
      <w:rFonts w:ascii="Arial Narrow" w:hAnsi="Arial Narrow" w:cs="Arial Narrow"/>
      <w:position w:val="-1"/>
      <w:sz w:val="20"/>
      <w:szCs w:val="20"/>
      <w:lang w:val="pt-BR" w:eastAsia="zh-CN" w:bidi="ar-SA"/>
    </w:rPr>
  </w:style>
  <w:style w:type="paragraph" w:customStyle="1" w:styleId="Standard">
    <w:name w:val="Standard"/>
    <w:rsid w:val="00780B02"/>
    <w:pPr>
      <w:suppressAutoHyphens/>
      <w:textAlignment w:val="baseline"/>
    </w:pPr>
    <w:rPr>
      <w:rFonts w:ascii="Times New Roman" w:eastAsia="Andale Sans UI" w:hAnsi="Times New Roman" w:cs="Times New Roman"/>
      <w:kern w:val="1"/>
      <w:sz w:val="24"/>
      <w:szCs w:val="24"/>
      <w:lang w:val="de-DE" w:eastAsia="fa-IR" w:bidi="fa-IR"/>
    </w:rPr>
  </w:style>
  <w:style w:type="character" w:styleId="Refdecomentrio">
    <w:name w:val="annotation reference"/>
    <w:basedOn w:val="Fontepargpadro"/>
    <w:uiPriority w:val="99"/>
    <w:semiHidden/>
    <w:unhideWhenUsed/>
    <w:rsid w:val="00094F8A"/>
    <w:rPr>
      <w:sz w:val="16"/>
      <w:szCs w:val="16"/>
    </w:rPr>
  </w:style>
  <w:style w:type="paragraph" w:styleId="Textodecomentrio">
    <w:name w:val="annotation text"/>
    <w:basedOn w:val="Normal"/>
    <w:link w:val="TextodecomentrioChar"/>
    <w:uiPriority w:val="99"/>
    <w:semiHidden/>
    <w:unhideWhenUsed/>
    <w:rsid w:val="00094F8A"/>
    <w:rPr>
      <w:sz w:val="20"/>
      <w:szCs w:val="20"/>
    </w:rPr>
  </w:style>
  <w:style w:type="character" w:customStyle="1" w:styleId="TextodecomentrioChar">
    <w:name w:val="Texto de comentário Char"/>
    <w:basedOn w:val="Fontepargpadro"/>
    <w:link w:val="Textodecomentrio"/>
    <w:uiPriority w:val="99"/>
    <w:semiHidden/>
    <w:rsid w:val="00094F8A"/>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094F8A"/>
    <w:rPr>
      <w:b/>
      <w:bCs/>
    </w:rPr>
  </w:style>
  <w:style w:type="character" w:customStyle="1" w:styleId="AssuntodocomentrioChar">
    <w:name w:val="Assunto do comentário Char"/>
    <w:basedOn w:val="TextodecomentrioChar"/>
    <w:link w:val="Assuntodocomentrio"/>
    <w:uiPriority w:val="99"/>
    <w:semiHidden/>
    <w:rsid w:val="00094F8A"/>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094F8A"/>
    <w:rPr>
      <w:rFonts w:ascii="Segoe UI" w:hAnsi="Segoe UI" w:cs="Segoe UI"/>
      <w:sz w:val="18"/>
      <w:szCs w:val="18"/>
    </w:rPr>
  </w:style>
  <w:style w:type="character" w:customStyle="1" w:styleId="TextodebaloChar">
    <w:name w:val="Texto de balão Char"/>
    <w:basedOn w:val="Fontepargpadro"/>
    <w:link w:val="Textodebalo"/>
    <w:uiPriority w:val="99"/>
    <w:semiHidden/>
    <w:rsid w:val="00094F8A"/>
    <w:rPr>
      <w:rFonts w:ascii="Segoe UI" w:eastAsia="Arial" w:hAnsi="Segoe UI" w:cs="Segoe UI"/>
      <w:sz w:val="18"/>
      <w:szCs w:val="18"/>
      <w:lang w:val="pt-PT" w:eastAsia="pt-PT" w:bidi="pt-PT"/>
    </w:rPr>
  </w:style>
  <w:style w:type="paragraph" w:customStyle="1" w:styleId="Ttulo11">
    <w:name w:val="Título 11"/>
    <w:basedOn w:val="Normal"/>
    <w:uiPriority w:val="1"/>
    <w:qFormat/>
    <w:rsid w:val="00773070"/>
    <w:pPr>
      <w:spacing w:before="90"/>
      <w:ind w:left="20" w:right="1267"/>
      <w:jc w:val="center"/>
      <w:outlineLvl w:val="1"/>
    </w:pPr>
    <w:rPr>
      <w:rFonts w:ascii="Times New Roman" w:eastAsia="Times New Roman" w:hAnsi="Times New Roman" w:cs="Times New Roman"/>
      <w:b/>
      <w:bCs/>
      <w:sz w:val="24"/>
      <w:szCs w:val="24"/>
      <w:lang w:eastAsia="en-US" w:bidi="ar-SA"/>
    </w:rPr>
  </w:style>
  <w:style w:type="paragraph" w:customStyle="1" w:styleId="Ttulo21">
    <w:name w:val="Título 21"/>
    <w:basedOn w:val="Normal"/>
    <w:uiPriority w:val="1"/>
    <w:qFormat/>
    <w:rsid w:val="00352773"/>
    <w:pPr>
      <w:ind w:left="459" w:hanging="222"/>
      <w:outlineLvl w:val="2"/>
    </w:pPr>
    <w:rPr>
      <w:rFonts w:ascii="Times New Roman" w:eastAsia="Times New Roman" w:hAnsi="Times New Roman" w:cs="Times New Roman"/>
      <w:b/>
      <w:bCs/>
      <w:lang w:eastAsia="en-US" w:bidi="ar-SA"/>
    </w:rPr>
  </w:style>
  <w:style w:type="table" w:styleId="Tabelacomgrade">
    <w:name w:val="Table Grid"/>
    <w:basedOn w:val="Tabelanormal"/>
    <w:uiPriority w:val="59"/>
    <w:rsid w:val="00B11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yc/h8FULYUpQcbDU7OWqNOmlAw==">AMUW2mX/BhHYeBkCWvJ/Jje+V0nakSmNQ/rl76HJBefK85PBmJnoP9G6Wj/URqukqClxBnolpTpiWLNaGaCAqEHffujDqQGDLCUoZ0CoGq78pmrVz09ofLGsBCFf93bAw/desBbWUO3pwbTu+jS+VP9Ksv4VdSRjsZQVz+XiEG533j5JeB+41TyiqaVQs/vVvXXWZMps8CPX86L0aGs2HvTV7NpnczmX2LD2PIAPpMI9UUnyTSXrij3yUa6+tyHwxLqHsIDxYQDB9r+yM4MZmsUb48V1CjGDtmIOmPSxp7jXlGQdFTxll79sgeKG6GpCW6JOTcqwaHuDudAVFUm8XPK8h5gn5SLznPY+FvoOxYf4dPcMmDSdYpaaBau7voNUJFpoM5STXLqT9tcKQr5xCkcxjLMff9vt9MkypBD/Vo/foRyMU4nCDyXUIGwGwHkEub24JilNfLEfntyiPphaNx2rWxqUEDm5Gmw3t96OKCjZz9QKUKHG8V+DjTs2HND0WaVZPvg7Gf/fQVgKwz0O13kXCESiOWsSABMkgGqnkpHjjiiRK2n6a0/ZxoazY389Ii/iceoPSFUkpkF3SAnMNO3/++yRZ48QkFUPg3bLE0d3CxYlChtwvE5oFDpM1oJn8DGvETuJeNpUXHdOPWDqEhIC6TSgcXCwGBxAFbu61FiweKOAewVdAK5Rs3MziRAzhvV1V7Txzk3rLBGDNWuRSDl7SKp9oucn72GO8e2IznGNicUTZZrJMfhY1utW5kOsdBi+8ai6YUYxneiduIqhm5+/6WXGSWG8LHQBNWlAl0UWgOxDMGrDW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6918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THAYSA-ROMANHOL</dc:creator>
  <cp:lastModifiedBy>Thaysa Romanhol</cp:lastModifiedBy>
  <cp:revision>2</cp:revision>
  <dcterms:created xsi:type="dcterms:W3CDTF">2021-09-21T14:56:00Z</dcterms:created>
  <dcterms:modified xsi:type="dcterms:W3CDTF">2021-09-21T14:56:00Z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Creator">
    <vt:lpwstr>Microsoft® Word 2010</vt:lpwstr>
  </property>
  <property fmtid="{D5CDD505-2E9C-101B-9397-08002B2CF9AE}" pid="4" name="LastSaved">
    <vt:filetime>2019-10-13T00:00:00Z</vt:filetime>
  </property>
</Properties>
</file>